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54</w:t>
      </w:r>
    </w:p>
    <w:p>
      <w:r>
        <w:t>Bundesgericht (BGE), 1984-02-07, FR</w:t>
      </w:r>
    </w:p>
    <w:p>
      <w:r>
        <w:rPr>
          <w:b/>
        </w:rPr>
        <w:t xml:space="preserve">Quelle: </w:t>
      </w:r>
      <w:r>
        <w:t>https://mcp.opencaselaw.ch/entscheid/bge_110 II 54</w:t>
      </w:r>
    </w:p>
    <w:p>
      <w:r>
        <w:t>FR: ATF 110 II 54</w:t>
      </w:r>
    </w:p>
    <w:p>
      <w:r>
        <w:t>IT: DTF 110 II 54</w:t>
      </w:r>
    </w:p>
    <w:p>
      <w:pPr>
        <w:pStyle w:val="Heading2"/>
      </w:pPr>
      <w:r>
        <w:t>Regeste</w:t>
      </w:r>
    </w:p>
    <w:p>
      <w:r>
        <w:t>Regeste Art. II des New Yorker Übereinkommens über die Anerkennung und Vollstreckung ausländischer Schiedssprüche vom 10. Juni 1958. Gültigkeit einer Schiedsklausel, die darin besteht, dass ein Konnossement - unterschrieben vom Seefrachtführer und vom Ablader namens einer Gesellschaft, die im Erdölhandel spezialisiert ist und zur gleichen Gruppe gehört wie der Befrachter - global auf die Bedingungen des Frachtvertrages, der eine Schiedsgerichtsklausel enthält, verweist (E. 3).</w:t>
      </w:r>
    </w:p>
    <w:p>
      <w:pPr>
        <w:pStyle w:val="Heading2"/>
      </w:pPr>
      <w:r>
        <w:t>Erwägungen</w:t>
      </w:r>
    </w:p>
    <w:p>
      <w:r>
        <w:rPr>
          <w:b/>
        </w:rPr>
        <w:t>E. 1</w:t>
      </w:r>
    </w:p>
    <w:p>
      <w:r>
        <w:t>Invoquant l' art. 68 al. 1 lettre a OJ , la recourante reproche aux juridictions cantonales d'avoir jugé la cause en application du droit public cantonal (Concordat intercantonal sur l'arbitrage), au lieu du droit fédéral, soit de la Convention dite de New York pour la reconnaissance et l'exécution des sentences arbitrales étrangères du 10 juin 1958 (RS 0.277.12), dont l'art. II plus particulièrement détermine la forme du contrat d'arbitrage. a) Le recours en nullité n'est ouvert que si le recours en réforme n'est pas recevable ( art. 68 al. 1 OJ ). Contrairement à ce que pense la recourante, l'application du droit cantonal en lieu et place du droit fédéral déterminant représente aussi une violation du droit fédéral au sens des art. 43 ss OJ ( ATF 82 II 561 /2, ATF 81 II 308 /9; BIRCHMEIER, p. 87 et les arrêts cités; WURZBURGER, dans RDS 1975 II p. 82). Ensuite, le différend au fond est une cause civile dont la valeur litigieuse dépasse 8'000 francs. Par ailleurs, la décision attaquée est une décision préjudicielle relative à la compétence matérielle qui peut être attaquée séparément ( art. 49 OJ ). Enfin, la règle invoquée par la recourante est une règle de droit fédéral relative à la compétence matérielle (cf. ATF 86 I 331 ). Elle figure en effet dans un traité conclu par la Confédération, qui est d'application directe (cf. pour les clauses sur le for figurant dans des traités, ATF 99 II 279 , ATF 98 II 90 ), et détermine si un différend doit être soumis au juge ordinaire ou à une juridiction arbitrale ( ATF 78 II 395 ). Peu importe à cet égard qu'elle relève du droit de procédure et non du droit civil ( ATF 103 II 76 , ATF 101 II 170 et arrêts cités). En effet, dans la mesure prévue, l'art. II de la Convention de New York oblige les Etats contractants à reconnaître la validité et les effets d'un contrat d'arbitrage; en cela, il restreint et délimite la compétence matérielle du juge ordinaire. Le recours en nullité doit donc être traité comme recours en réforme dont il remplit les conditions ( ATF 93 II 356 ). b) Dans le recours en réforme, le Tribunal fédéral est lié par les faits constatés par la dernière juridiction cantonale, sauf les exceptions prévues par la loi ( art. 63 et art. 64 OJ ). En particulier, la BGE 110 II 54 S. 57 production d'une nouvelle pièce, telle que la propose la recourante, est irrecevable (art. 55 al. 1 lettre c OJ).</w:t>
      </w:r>
    </w:p>
    <w:p>
      <w:r>
        <w:rPr>
          <w:b/>
        </w:rPr>
        <w:t>E. 2</w:t>
      </w:r>
    </w:p>
    <w:p>
      <w:r>
        <w:t>On entend par "convention écrite" une clause compromissoire insérée dans un contrat, ou un compromis, signés par les parties ou contenus dans un échange de lettres ou de télégrammes.</w:t>
      </w:r>
    </w:p>
    <w:p>
      <w:r>
        <w:rPr>
          <w:b/>
        </w:rPr>
        <w:t>E. 3</w:t>
      </w:r>
    </w:p>
    <w:p>
      <w:r>
        <w:t>La recourante estime que, par l'effet d'un renvoi à la charte-partie, les connaissements en cause comportent une clause compromissoire écrite répondant aux exigences de forme de l'art. II de la Convention de New York. a) Il résulte du texte même de la Convention - et l'opinion dominante admet - que l'art. II contient des règles d'application uniforme qui, dans le champ d'application de la Convention, BGE 110 II 54 S. 58 remplacent le droit national (FF 1964 II 631; KLEIN, op.cit., p. 235; SANDERS, op.cit., p. 308; SCHLOSSER, Das Recht der internationalen privaten Schiedsgerichtsbarkeit, vol. I, p. 332 ss; FOUCHARD, L'arbitrage commercial international, p. 80 ss (avec réserves); SCHWAB, Schiedsgerichtsbarkeit, 3e éd., p. 345 ss; BERTHEAU, Das New Yorker Abkommen vom 10. Juni 1958 über die Anerkennung und Vollstreckung ausländischer Schiedssprüche, thèse Zurich 1965, p. 30; VAN DEN BERG, The New York Arbitration Convention of 1958, p. 170 ss). C'est dès lors exclusivement à la lumière de cette disposition conventionnelle que doit être résolue la question de la validité de la clause litigieuse. b) La forme écrite exigée par l'art. II de la Convention de New York dans le premier terme de l'alternative de son chiffre 2 implique que le contrat d'arbitrage soit signé "par les parties", soit par les personnes obligées par ledit contrat d'arbitrage, autrement dit par toutes celles qui décident de s'y soumettre, renonçant par là à la garantie du juge naturel. En l'espèce, les deux connaissements établis lors du chargement du navire ont été signés par le capitaine (pour Tradax) et par le chargeur (Cie des transports par pipelines au Sahara "Trapsa"); ils sont en outre libellés à l'ordre d'Amoco Texas. S'ils ne comportent pas la signature de cette dernière en tant que bénéficiaire, il faut admettre - vu la signification de l'opération - que le chargeur, en se faisant délivrer un connaissement, agissait pour le compte d'Amoco Texas, laquelle acquérait de cette manière un droit de propriété sur la marchandise, affecté de certaines restrictions (pour le respect de la forme écrite par la signature conjointe du capitaine et du chargeur, cf. SCHLOSSER, op.cit., I p. 345 No 351). Il n'est pour le surplus pas contesté que les connaissements en cause remplissent les autres conditions de forme du contrat écrit. Indépendamment de la question de son efficacité (cf. ci-dessous), la clause de renvoi litigieuse respecte donc la forme écrite prévue par la Convention. c) Il convient dès lors d'examiner si le texte signé des connaissements, plus particulièrement la clause générale qu'ils contiennent renvoyant aux conditions de la charte-partie, emporte l'adhésion des parties à un contrat d'arbitrage. Il est à cet égard incontesté que la charte-partie contient elle-même une clause compromissoire valable. aa) De manière générale, s'agissant d'un accord se référant à un contrat séparé où l'on trouve défini - notamment dans des conditions BGE 110 II 54 S. 59 générales - l'objet du compromis arbitral, la jurisprudence et la doctrine étrangère paraissent admettre, lorsque la référence à la clause arbitrale est spécifique, la validité de cette dernière. En revanche, lorsque la référence à l'autre contrat est globale, les opinions divergent quant à la validité de la clause d'arbitrage. Si certains tribunaux et auteurs tiennent en général ce renvoi pour insuffisant, d'autres en admettent la validité lorsque les parties connaissaient toutes deux les conditions générales, par exemple pour en avoir reçu un exemplaire ou encore parce qu'elles sont entre elles en relations d'affaires suivies (cf. sur ces questions notamment VAN DEN BERG, op.cit., p. 208 ss, spéc. p. 217 ss; SCHLOSSER, op.cit., I p. 339 ss, No 347 ss; SCHWAB, op.cit., p. 346). On rencontre des divergences similaires concernant plus spécialement la validité d'un renvoi aux clauses de la charte-partie contenu dans un connaissement (cf. VAN DEN BERG, op.cit., p. 220); SCHLOSSER, op.cit., I p. 343 ss; REITHMANN, Internationales Vertragsrecht, 3e éd., Nos 469, 470, p. 398/9). bb) Le texte de l'art. II de la Convention de New York ne se prononce pas sur le point de savoir si, pour être efficace, le renvoi à des conditions stipulées dans un autre document doit contenir une référence spécifique à la clause compromissoire. Aussi convient-il d'interpréter cette disposition selon son but et en fonction des intérêts qu'elle entend manifestement protéger. La Convention a pour but de faciliter la solution des différends par la voie de l'arbitrage, compte tenu en particulier des besoins du commerce international; néanmoins, l'exigence de la forme écrite prévue à l'art. II de la Convention tend à protéger les intéressés d'engagements inconsidérés impliquant renonciation au for et au juge ordinaires. Du point de vue des intérêts en présence, la validité d'une clause compromissoire doit s'apprécier en fonction des circonstances du cas particulier. Ainsi, on aura égard au fait qu'elle a été conclue entre commerçants rompus aux affaires ou entre personnes inexpérimentées; de même, on pourra exiger une attention différente des signataires suivant que le contrat renvoie aux clauses d'un autre contrat censé connu ou à des conditions générales dont on ignore si elles sont connues. cc) En l'occurrence, aussi bien Amoco Texas qu'Amoco Transport et Tradax peuvent être considérées comme des sociétés commerciales rompues aux opérations liées au transport et au commerce d'hydrocarbures. Elles sont donc censées connaître les formules habituelles de charte-partie, telle la formule "Asbatankvoy", utilisées pour le transport du pétrole. BGE 110 II 54 S. 60 Par ailleurs, si le bénéficiaire du connaissement n'est pas nécessairement l'affréteur, la charte-partie et le connaissement relatifs au même transport maritime n'en sont pas moins étroitement liés. En effet, le propriétaire de la marchandise ne pourra obtenir celle-ci à l'endroit ou aux conditions prévus que si le contrat de transport est régulièrement exécuté; il est dès lors compréhensible que les parties entendent définir les droits du propriétaire (titulaire du connaissement) dans les limites du contrat de transport. On peut aussi s'attendre qu'elles soumettent au même juge la connaissance d'un différend relatif à une exécution défectueuse, que le demandeur se fonde sur le contrat de transport ou le connaissement. Enfin, dans le cas particulier, le connaissement se réfère à l'ensemble des clauses et conditions de la charte-partie, dans lesquelles il faut inclure la clause arbitrale même si cela n'est pas dit expressément. En pareilles circonstances, Tradax était en droit de comprendre que l'adhésion de son cocontractant, agissant en faveur d'Amoco Texas, au texte du connaissement, emportait son adhésion à la clause compromissoire contenue dans la charte-partie conclue avec Amoco Transport. En effet, elle pouvait partir de l'idée qu'Amoco Texas, rattachée au groupe Amoco, connaissait ou devait connaître ces modalités du contrat de transport - y compris la clause compromissoire usuelle - et que, par renvoi à ces conditions, elle était d'accord, elle aussi, de s'y soumettre. Peu importe que la date de la charte-partie n'eût pas été mentionnée dans les connaissements, du moment que la référence à ce document était conforme à la nature du connaissement. dd) Cela étant, il est superflu de rechercher si, indépendamment de l'appartenance de l'affréteur et du bénéficiaire du connaissement au même groupe de sociétés, il ne faudrait pas déjà admettre la validité de la clause compromissoire du seul fait du renvoi global du connaissement aux conditions de la charte-partie, en raison des liens organiques liant l'un à l'autre. d) Le déclinatoire est donc fondé, sans qu'il soit nécessaire d'examiner les autres moyens de la recourante, en particulier celui pris d'un prétendu rapport de représentation entre Amoco Transport et Amoco Texas.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